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617E" w14:textId="77777777" w:rsidR="00CE655D" w:rsidRDefault="00CE655D" w:rsidP="00CE655D">
      <w:pPr>
        <w:pStyle w:val="Default"/>
      </w:pPr>
    </w:p>
    <w:p w14:paraId="5B595A51" w14:textId="69591D07" w:rsidR="00CE655D" w:rsidRDefault="00CE655D" w:rsidP="00CE655D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Allegato 1.1 alla delibera ANAC n. 213/2020 – Documento di attestazione per le pubbliche amministrazioni di cui al § 1.1.</w:t>
      </w:r>
    </w:p>
    <w:p w14:paraId="7601291B" w14:textId="77777777" w:rsidR="00CE655D" w:rsidRDefault="00CE655D" w:rsidP="00CE655D">
      <w:pPr>
        <w:pStyle w:val="Default"/>
        <w:rPr>
          <w:b/>
          <w:bCs/>
          <w:sz w:val="23"/>
          <w:szCs w:val="23"/>
        </w:rPr>
      </w:pPr>
    </w:p>
    <w:p w14:paraId="12378633" w14:textId="25C1BB17" w:rsidR="00CE655D" w:rsidRDefault="00CE655D" w:rsidP="00A0486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14332D69" wp14:editId="5B13B5D8">
            <wp:extent cx="2028825" cy="717166"/>
            <wp:effectExtent l="0" t="0" r="0" b="6985"/>
            <wp:docPr id="18273247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24745" name="Immagine 18273247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04" cy="7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2C754" w14:textId="77777777" w:rsidR="00A04860" w:rsidRDefault="00A04860" w:rsidP="00A04860">
      <w:pPr>
        <w:pStyle w:val="Default"/>
        <w:jc w:val="center"/>
        <w:rPr>
          <w:b/>
          <w:bCs/>
          <w:sz w:val="23"/>
          <w:szCs w:val="23"/>
        </w:rPr>
      </w:pPr>
    </w:p>
    <w:p w14:paraId="24C7C0F4" w14:textId="15BB5BF2" w:rsidR="00A04860" w:rsidRPr="00A04860" w:rsidRDefault="00A04860" w:rsidP="00A04860">
      <w:pPr>
        <w:autoSpaceDE w:val="0"/>
        <w:autoSpaceDN w:val="0"/>
        <w:adjustRightInd w:val="0"/>
        <w:spacing w:after="0" w:line="285" w:lineRule="atLeast"/>
        <w:jc w:val="center"/>
        <w:rPr>
          <w:rFonts w:ascii="Bookman Old Style" w:hAnsi="Bookman Old Style" w:cs="Bookman Old Style"/>
          <w:color w:val="0D0698"/>
          <w:sz w:val="20"/>
          <w:szCs w:val="20"/>
          <w:lang w:val="en-US"/>
        </w:rPr>
      </w:pPr>
      <w:r w:rsidRPr="00A04860"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Via Crispi, 69 </w:t>
      </w:r>
      <w:r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>-</w:t>
      </w:r>
      <w:r w:rsidRPr="00A04860"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  19124 LA SPEZIA Tel. 0187/511230</w:t>
      </w:r>
    </w:p>
    <w:p w14:paraId="1E42059E" w14:textId="3B53B7B5" w:rsidR="00A04860" w:rsidRPr="00A04860" w:rsidRDefault="00A04860" w:rsidP="00A04860">
      <w:pPr>
        <w:autoSpaceDE w:val="0"/>
        <w:autoSpaceDN w:val="0"/>
        <w:adjustRightInd w:val="0"/>
        <w:spacing w:after="0" w:line="285" w:lineRule="atLeast"/>
        <w:jc w:val="center"/>
        <w:rPr>
          <w:rFonts w:ascii="Times New Roman" w:hAnsi="Times New Roman" w:cs="Times New Roman"/>
          <w:color w:val="0D0698"/>
          <w:sz w:val="20"/>
          <w:szCs w:val="20"/>
        </w:rPr>
      </w:pPr>
      <w:r w:rsidRPr="00A04860"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e-mail:  </w:t>
      </w:r>
      <w:hyperlink r:id="rId5" w:history="1">
        <w:r w:rsidRPr="000A5C3D">
          <w:rPr>
            <w:rStyle w:val="Collegamentoipertestuale"/>
            <w:rFonts w:ascii="Bookman Old Style" w:hAnsi="Bookman Old Style" w:cs="Bookman Old Style"/>
            <w:sz w:val="20"/>
            <w:szCs w:val="20"/>
            <w:lang w:val="en-US"/>
          </w:rPr>
          <w:t>consigliolaspezia@notariato.it</w:t>
        </w:r>
      </w:hyperlink>
      <w:r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 </w:t>
      </w:r>
      <w:r w:rsidRPr="00A04860"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      PEC: </w:t>
      </w:r>
      <w:hyperlink r:id="rId6" w:history="1">
        <w:r w:rsidRPr="000A5C3D">
          <w:rPr>
            <w:rStyle w:val="Collegamentoipertestuale"/>
            <w:rFonts w:ascii="Bookman Old Style" w:hAnsi="Bookman Old Style" w:cs="Bookman Old Style"/>
            <w:sz w:val="20"/>
            <w:szCs w:val="20"/>
            <w:lang w:val="en-US"/>
          </w:rPr>
          <w:t>cnd.laspezia@postacertificata.notariato.it</w:t>
        </w:r>
      </w:hyperlink>
      <w:r>
        <w:rPr>
          <w:rFonts w:ascii="Bookman Old Style" w:hAnsi="Bookman Old Style" w:cs="Bookman Old Style"/>
          <w:color w:val="0D0698"/>
          <w:sz w:val="20"/>
          <w:szCs w:val="20"/>
          <w:lang w:val="en-US"/>
        </w:rPr>
        <w:t xml:space="preserve"> </w:t>
      </w:r>
    </w:p>
    <w:p w14:paraId="3EE9E4CC" w14:textId="77777777" w:rsidR="00CE655D" w:rsidRPr="00A04860" w:rsidRDefault="00CE655D" w:rsidP="00CE655D">
      <w:pPr>
        <w:pStyle w:val="Default"/>
        <w:rPr>
          <w:b/>
          <w:bCs/>
          <w:color w:val="0D0698"/>
          <w:sz w:val="20"/>
          <w:szCs w:val="20"/>
        </w:rPr>
      </w:pPr>
    </w:p>
    <w:p w14:paraId="1D04859B" w14:textId="77777777" w:rsidR="00CE655D" w:rsidRDefault="00CE655D" w:rsidP="00A04860">
      <w:pPr>
        <w:pStyle w:val="Default"/>
        <w:spacing w:line="276" w:lineRule="auto"/>
      </w:pPr>
    </w:p>
    <w:p w14:paraId="0DEAB0EB" w14:textId="08013A31" w:rsidR="00CE655D" w:rsidRDefault="00CE655D" w:rsidP="00A04860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A04860">
        <w:rPr>
          <w:b/>
          <w:bCs/>
          <w:sz w:val="28"/>
          <w:szCs w:val="28"/>
          <w:u w:val="single"/>
        </w:rPr>
        <w:t>Documento di attestazione</w:t>
      </w:r>
    </w:p>
    <w:p w14:paraId="3D89F305" w14:textId="77777777" w:rsidR="00A04860" w:rsidRPr="00A04860" w:rsidRDefault="00A04860" w:rsidP="00A04860">
      <w:pPr>
        <w:pStyle w:val="Default"/>
        <w:spacing w:line="276" w:lineRule="auto"/>
        <w:jc w:val="center"/>
        <w:rPr>
          <w:sz w:val="28"/>
          <w:szCs w:val="28"/>
          <w:u w:val="single"/>
        </w:rPr>
      </w:pPr>
    </w:p>
    <w:p w14:paraId="7F91D287" w14:textId="77777777" w:rsidR="00CE655D" w:rsidRDefault="00CE655D" w:rsidP="00A04860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 nomina e le attestazioni dell’OIV previste dall’art. 14 del Dlgs. N. 150/2009 non si applicano al Consiglio Notarile Distrettuale di Livorno così come disposto dall’art. 2 comma 2 bis del D.L. 101/2013 convertito in L. n. 125/2013 </w:t>
      </w:r>
    </w:p>
    <w:p w14:paraId="18C9F893" w14:textId="77777777" w:rsidR="00A04860" w:rsidRDefault="00A04860" w:rsidP="00A04860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6492DE64" w14:textId="77777777" w:rsidR="00A04860" w:rsidRDefault="00A04860" w:rsidP="00CE655D">
      <w:pPr>
        <w:pStyle w:val="Default"/>
        <w:rPr>
          <w:sz w:val="23"/>
          <w:szCs w:val="23"/>
        </w:rPr>
      </w:pPr>
    </w:p>
    <w:p w14:paraId="184676DD" w14:textId="716A8980" w:rsidR="00CE655D" w:rsidRDefault="00CE655D" w:rsidP="00A0486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IL RESPONSABILE DELLA PREVENZIONE DELLA CORRUZIONE E DELLA TRASPARENZA ATTESTA CHE</w:t>
      </w:r>
    </w:p>
    <w:p w14:paraId="58718EE6" w14:textId="77777777" w:rsidR="00A04860" w:rsidRDefault="00A04860" w:rsidP="00A04860">
      <w:pPr>
        <w:pStyle w:val="Default"/>
        <w:jc w:val="center"/>
        <w:rPr>
          <w:sz w:val="23"/>
          <w:szCs w:val="23"/>
        </w:rPr>
      </w:pPr>
    </w:p>
    <w:p w14:paraId="624AAC76" w14:textId="77777777" w:rsidR="00CE655D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proofErr w:type="spellStart"/>
      <w:r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 L’Ente ha individuato misure organizzative che assicurano il regolare funzionamento dei flussi informativi per la pubblicazione dei dati nella sezione “</w:t>
      </w:r>
      <w:r>
        <w:rPr>
          <w:i/>
          <w:iCs/>
          <w:sz w:val="23"/>
          <w:szCs w:val="23"/>
        </w:rPr>
        <w:t>Amministrazione trasparente</w:t>
      </w:r>
      <w:r>
        <w:rPr>
          <w:sz w:val="23"/>
          <w:szCs w:val="23"/>
        </w:rPr>
        <w:t xml:space="preserve">”; </w:t>
      </w:r>
    </w:p>
    <w:p w14:paraId="65C72333" w14:textId="77777777" w:rsidR="00CE655D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r>
        <w:rPr>
          <w:sz w:val="23"/>
          <w:szCs w:val="23"/>
        </w:rPr>
        <w:t>□ L’amministrazione/ente NON ha individuato misure organizzative che assicurano il regolare funzionamento dei flussi informativi per la pubblicazione dei dati nella sezione “</w:t>
      </w:r>
      <w:r>
        <w:rPr>
          <w:i/>
          <w:iCs/>
          <w:sz w:val="23"/>
          <w:szCs w:val="23"/>
        </w:rPr>
        <w:t xml:space="preserve">Amministrazione trasparente”; </w:t>
      </w:r>
    </w:p>
    <w:p w14:paraId="239E50CB" w14:textId="77777777" w:rsidR="00CE655D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proofErr w:type="spellStart"/>
      <w:r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 L’Ente ha individuato nella sezione Trasparenza del PTPC i responsabili della trasmissione e della pubblicazione dei documenti, delle informazioni e dei dati ai sensi dell’art. 10 del d.lgs. 33/2013; </w:t>
      </w:r>
    </w:p>
    <w:p w14:paraId="0B8E397E" w14:textId="77777777" w:rsidR="00CE655D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r>
        <w:rPr>
          <w:sz w:val="23"/>
          <w:szCs w:val="23"/>
        </w:rPr>
        <w:t xml:space="preserve">□ L’amministrazione/ente NON ha individuato nella sezione Trasparenza del PTPC i responsabili della trasmissione e della pubblicazione dei documenti, delle informazioni e dei dati ai sensi dell’art. 10 del d.lgs. 33/2013; </w:t>
      </w:r>
    </w:p>
    <w:p w14:paraId="6A403DA9" w14:textId="77777777" w:rsidR="00CE655D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proofErr w:type="spellStart"/>
      <w:r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 L’Ente NON ha disposto filtri e/o altre soluzioni tecniche atte ad impedire ai motori di ricerca </w:t>
      </w:r>
      <w:r>
        <w:rPr>
          <w:i/>
          <w:iCs/>
          <w:sz w:val="23"/>
          <w:szCs w:val="23"/>
        </w:rPr>
        <w:t xml:space="preserve">web </w:t>
      </w:r>
      <w:r>
        <w:rPr>
          <w:sz w:val="23"/>
          <w:szCs w:val="23"/>
        </w:rPr>
        <w:t xml:space="preserve">di indicizzare ed effettuare ricerche all’interno della sezione AT, salvo le ipotesi consentite dalla normativa vigente; </w:t>
      </w:r>
    </w:p>
    <w:p w14:paraId="39327297" w14:textId="77777777" w:rsidR="00A04860" w:rsidRDefault="00CE655D" w:rsidP="00A04860">
      <w:pPr>
        <w:pStyle w:val="Default"/>
        <w:spacing w:line="480" w:lineRule="auto"/>
        <w:ind w:left="142" w:hanging="284"/>
        <w:rPr>
          <w:sz w:val="23"/>
          <w:szCs w:val="23"/>
        </w:rPr>
      </w:pPr>
      <w:r>
        <w:rPr>
          <w:sz w:val="23"/>
          <w:szCs w:val="23"/>
        </w:rPr>
        <w:t xml:space="preserve">□ L’amministrazione/ente ha disposto filtri e/o altre soluzioni tecniche atte ad impedire ai motori di ricerca </w:t>
      </w:r>
      <w:r>
        <w:rPr>
          <w:i/>
          <w:iCs/>
          <w:sz w:val="23"/>
          <w:szCs w:val="23"/>
        </w:rPr>
        <w:t xml:space="preserve">web </w:t>
      </w:r>
      <w:r>
        <w:rPr>
          <w:sz w:val="23"/>
          <w:szCs w:val="23"/>
        </w:rPr>
        <w:t xml:space="preserve">di indicizzare ed effettuare ricerche all’interno della sezione AT. </w:t>
      </w:r>
    </w:p>
    <w:p w14:paraId="6F4E3972" w14:textId="77777777" w:rsidR="00A04860" w:rsidRDefault="00A04860" w:rsidP="00A04860">
      <w:pPr>
        <w:pStyle w:val="Default"/>
        <w:spacing w:line="480" w:lineRule="auto"/>
        <w:rPr>
          <w:sz w:val="23"/>
          <w:szCs w:val="23"/>
        </w:rPr>
      </w:pPr>
    </w:p>
    <w:p w14:paraId="17178814" w14:textId="77777777" w:rsidR="00A04860" w:rsidRDefault="00A04860" w:rsidP="00A04860">
      <w:pPr>
        <w:pStyle w:val="Default"/>
        <w:spacing w:line="480" w:lineRule="auto"/>
        <w:rPr>
          <w:sz w:val="23"/>
          <w:szCs w:val="23"/>
        </w:rPr>
      </w:pPr>
    </w:p>
    <w:p w14:paraId="13E9559E" w14:textId="77777777" w:rsidR="00A04860" w:rsidRDefault="00CE655D" w:rsidP="00A04860">
      <w:pPr>
        <w:pStyle w:val="Default"/>
        <w:spacing w:line="48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1.1 alla delibera ANAC n. 213/2020 – Documento di attestazione per le pubbliche amministrazioni di cui al § 1.1. </w:t>
      </w:r>
    </w:p>
    <w:p w14:paraId="2C1C0CC9" w14:textId="798645D8" w:rsidR="00CE655D" w:rsidRDefault="00CE655D" w:rsidP="00A04860">
      <w:pPr>
        <w:pStyle w:val="Default"/>
        <w:spacing w:line="480" w:lineRule="auto"/>
        <w:jc w:val="center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>ATTESTA</w:t>
      </w:r>
    </w:p>
    <w:p w14:paraId="4B2356F5" w14:textId="77777777" w:rsidR="00CE655D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la veridicità</w:t>
      </w:r>
      <w:r>
        <w:rPr>
          <w:color w:val="auto"/>
          <w:sz w:val="13"/>
          <w:szCs w:val="13"/>
        </w:rPr>
        <w:t xml:space="preserve">1 </w:t>
      </w:r>
      <w:r>
        <w:rPr>
          <w:color w:val="auto"/>
          <w:sz w:val="23"/>
          <w:szCs w:val="23"/>
        </w:rPr>
        <w:t xml:space="preserve">e l’attendibilità, alla data dell’attestazione, di quanto riportato nell’Allegato 2.1. rispetto a quanto pubblicato sul sito dell’ente. </w:t>
      </w:r>
    </w:p>
    <w:p w14:paraId="2ECE99EE" w14:textId="77777777" w:rsidR="00CE655D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</w:p>
    <w:p w14:paraId="25CBD57A" w14:textId="77777777" w:rsidR="00CE655D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29 giugno 2021 </w:t>
      </w:r>
    </w:p>
    <w:p w14:paraId="1E478777" w14:textId="77777777" w:rsidR="00CE655D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</w:p>
    <w:p w14:paraId="5DA87913" w14:textId="46F41E9F" w:rsidR="00721660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dell’Organismo con funzioni analoghe ovvero del Responsabile della Prevenzione della Corruzione e della Trasparenza </w:t>
      </w:r>
    </w:p>
    <w:p w14:paraId="37B74255" w14:textId="77777777" w:rsidR="00CE655D" w:rsidRDefault="00CE655D" w:rsidP="00A04860">
      <w:pPr>
        <w:pStyle w:val="Default"/>
        <w:spacing w:line="480" w:lineRule="auto"/>
        <w:rPr>
          <w:color w:val="auto"/>
          <w:sz w:val="23"/>
          <w:szCs w:val="23"/>
        </w:rPr>
      </w:pPr>
    </w:p>
    <w:p w14:paraId="04A8BECF" w14:textId="5AC216AD" w:rsidR="00CE655D" w:rsidRPr="00CE655D" w:rsidRDefault="00A04860" w:rsidP="00A04860">
      <w:pPr>
        <w:pStyle w:val="Default"/>
        <w:spacing w:line="480" w:lineRule="auto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 w:rsidR="00CE655D" w:rsidRPr="00CE655D">
        <w:rPr>
          <w:i/>
          <w:iCs/>
          <w:color w:val="auto"/>
          <w:sz w:val="23"/>
          <w:szCs w:val="23"/>
        </w:rPr>
        <w:t>Notaio Niccolò Massella Ducci Teri</w:t>
      </w:r>
    </w:p>
    <w:sectPr w:rsidR="00CE655D" w:rsidRPr="00CE6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5D"/>
    <w:rsid w:val="00592C1F"/>
    <w:rsid w:val="00721660"/>
    <w:rsid w:val="00756767"/>
    <w:rsid w:val="00A04860"/>
    <w:rsid w:val="00B85C66"/>
    <w:rsid w:val="00CE655D"/>
    <w:rsid w:val="00D0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6ED"/>
  <w15:chartTrackingRefBased/>
  <w15:docId w15:val="{BA9F1A49-B674-4762-989F-199EF8BC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86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6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6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6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6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655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65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65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65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65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E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655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65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655D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E655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655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65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655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048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d.laspezia@postacertificata.notariato.it" TargetMode="External"/><Relationship Id="rId5" Type="http://schemas.openxmlformats.org/officeDocument/2006/relationships/hyperlink" Target="mailto:consigliolaspezia@notariato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Cozzani</dc:creator>
  <cp:keywords/>
  <dc:description/>
  <cp:lastModifiedBy>Monica Cozzani</cp:lastModifiedBy>
  <cp:revision>2</cp:revision>
  <dcterms:created xsi:type="dcterms:W3CDTF">2026-05-14T11:42:00Z</dcterms:created>
  <dcterms:modified xsi:type="dcterms:W3CDTF">2026-05-14T11:53:00Z</dcterms:modified>
</cp:coreProperties>
</file>